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Minutes: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We have until the end of the week to set up the website since we just got the team account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Project Artifacts look fine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Think about how progress should be presented to the Sponsor.  He wants to view progress from an application standpoint, not necessarily a process standpoint.</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Think about the requirements and the domain model more. Prototyping features is fine but at some point we should have concrete requirements to tell Joe that these are the exact features we plan on adding.</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In that regard having a more formal requirements document will help</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Al will not point out risks or problems that we may be having right away. He wants us to figure out what these and discuss these with him and the sponsor as the project continues</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